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 w:firstLine="42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附件2：</w:t>
      </w:r>
    </w:p>
    <w:p>
      <w:pPr>
        <w:widowControl/>
        <w:shd w:val="clear" w:color="auto" w:fill="FFFFFF"/>
        <w:ind w:right="-57" w:firstLine="420"/>
        <w:jc w:val="center"/>
        <w:outlineLvl w:val="1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报价一览表</w:t>
      </w:r>
    </w:p>
    <w:p>
      <w:pPr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项目名称：</w:t>
      </w:r>
    </w:p>
    <w:p>
      <w:pPr>
        <w:rPr>
          <w:rFonts w:ascii="宋体" w:hAnsi="宋体"/>
          <w:b/>
          <w:szCs w:val="21"/>
        </w:rPr>
      </w:pP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6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投标总价（元）</w:t>
            </w: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6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right="640"/>
        <w:rPr>
          <w:rFonts w:hint="eastAsia" w:ascii="宋体" w:hAnsi="宋体"/>
          <w:szCs w:val="21"/>
        </w:rPr>
      </w:pPr>
    </w:p>
    <w:p>
      <w:pPr>
        <w:ind w:right="640"/>
        <w:rPr>
          <w:rFonts w:hint="eastAsia"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投标人全称（盖公章）：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法定代表人或授权代表（签名）：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    期：     年   月   日</w:t>
      </w:r>
    </w:p>
    <w:p>
      <w:pPr>
        <w:ind w:right="640"/>
        <w:rPr>
          <w:rFonts w:hint="eastAsia"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 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投标人应按“招标公告”的要求，根据实际情况进行报价,不得超过本项目预算金额，不得含有任何对本报价进行修改的其他说明，否则将被视为无效投标；</w:t>
      </w:r>
    </w:p>
    <w:p>
      <w:pPr>
        <w:ind w:right="6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 投标报价包括与服务相关的一切费用；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3、上述日期均以日历日为单位，包括法定节假日；</w:t>
      </w:r>
    </w:p>
    <w:p>
      <w:pPr>
        <w:ind w:right="6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4、对含糊不清或不确定的报价将视为无效报价。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04E88"/>
    <w:rsid w:val="38F36E2F"/>
    <w:rsid w:val="58C92E8E"/>
    <w:rsid w:val="630F2924"/>
    <w:rsid w:val="7DD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liangbz</dc:creator>
  <cp:lastModifiedBy>月1408163091</cp:lastModifiedBy>
  <dcterms:modified xsi:type="dcterms:W3CDTF">2018-04-02T09:32:16Z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