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1</w:t>
      </w:r>
    </w:p>
    <w:p>
      <w:pPr>
        <w:rPr>
          <w:rFonts w:ascii="仿宋_GB2312" w:eastAsia="仿宋_GB2312"/>
          <w:sz w:val="24"/>
          <w:szCs w:val="24"/>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2914"/>
        <w:gridCol w:w="1023"/>
        <w:gridCol w:w="982"/>
        <w:gridCol w:w="995"/>
        <w:gridCol w:w="1019"/>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953" w:type="dxa"/>
            <w:gridSpan w:val="7"/>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bCs/>
                <w:color w:val="000000"/>
                <w:kern w:val="0"/>
                <w:sz w:val="28"/>
                <w:szCs w:val="28"/>
              </w:rPr>
            </w:pPr>
            <w:bookmarkStart w:id="0" w:name="_GoBack"/>
            <w:r>
              <w:rPr>
                <w:rFonts w:hint="eastAsia" w:ascii="宋体" w:hAnsi="宋体" w:cs="宋体"/>
                <w:b/>
                <w:bCs/>
                <w:color w:val="000000"/>
                <w:kern w:val="0"/>
                <w:sz w:val="28"/>
                <w:szCs w:val="28"/>
              </w:rPr>
              <w:t>废旧设备清单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市中心</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sz w:val="24"/>
                <w:szCs w:val="24"/>
              </w:rPr>
            </w:pPr>
            <w:r>
              <w:rPr>
                <w:rFonts w:hint="eastAsia" w:ascii="仿宋_GB2312" w:hAnsi="仿宋" w:eastAsia="仿宋_GB2312"/>
                <w:sz w:val="24"/>
                <w:szCs w:val="24"/>
              </w:rPr>
              <w:t>地址</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仿宋_GB2312" w:hAnsi="仿宋" w:eastAsia="仿宋_GB2312"/>
                <w:sz w:val="24"/>
                <w:szCs w:val="24"/>
                <w:lang w:eastAsia="zh-CN"/>
              </w:rPr>
              <w:t>北单</w:t>
            </w:r>
            <w:r>
              <w:rPr>
                <w:rFonts w:hint="eastAsia" w:ascii="仿宋_GB2312" w:hAnsi="仿宋" w:eastAsia="仿宋_GB2312"/>
                <w:sz w:val="24"/>
                <w:szCs w:val="24"/>
              </w:rPr>
              <w:t>高腾CP86增强型</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sz w:val="24"/>
                <w:szCs w:val="24"/>
              </w:rPr>
            </w:pPr>
            <w:r>
              <w:rPr>
                <w:rFonts w:hint="eastAsia" w:ascii="仿宋_GB2312" w:hAnsi="仿宋" w:eastAsia="仿宋_GB2312"/>
                <w:sz w:val="24"/>
                <w:szCs w:val="24"/>
                <w:lang w:eastAsia="zh-CN"/>
              </w:rPr>
              <w:t>北单</w:t>
            </w:r>
            <w:r>
              <w:rPr>
                <w:rFonts w:hint="eastAsia" w:ascii="仿宋_GB2312" w:hAnsi="仿宋" w:eastAsia="仿宋_GB2312"/>
                <w:sz w:val="24"/>
                <w:szCs w:val="24"/>
              </w:rPr>
              <w:t>英特达</w:t>
            </w:r>
            <w:r>
              <w:rPr>
                <w:rFonts w:hint="eastAsia" w:ascii="仿宋_GB2312" w:hAnsi="仿宋" w:eastAsia="仿宋_GB2312"/>
                <w:sz w:val="24"/>
                <w:szCs w:val="24"/>
              </w:rPr>
              <w:br w:type="textWrapping"/>
            </w:r>
            <w:r>
              <w:rPr>
                <w:rFonts w:hint="eastAsia" w:ascii="仿宋_GB2312" w:hAnsi="仿宋" w:eastAsia="仿宋_GB2312"/>
                <w:sz w:val="24"/>
                <w:szCs w:val="24"/>
              </w:rPr>
              <w:t>TPT-IU</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仿宋_GB2312" w:hAnsi="仿宋" w:eastAsia="仿宋_GB2312"/>
                <w:sz w:val="24"/>
                <w:szCs w:val="24"/>
                <w:lang w:eastAsia="zh-CN"/>
              </w:rPr>
              <w:t>传统型</w:t>
            </w:r>
            <w:r>
              <w:rPr>
                <w:rFonts w:hint="eastAsia" w:ascii="仿宋_GB2312" w:hAnsi="仿宋" w:eastAsia="仿宋_GB2312"/>
                <w:sz w:val="24"/>
                <w:szCs w:val="24"/>
              </w:rPr>
              <w:t>英特达TPT-IU</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仿宋_GB2312" w:hAnsi="仿宋" w:eastAsia="仿宋_GB2312"/>
                <w:sz w:val="24"/>
                <w:szCs w:val="24"/>
                <w:lang w:eastAsia="zh-CN"/>
              </w:rPr>
              <w:t>传统型</w:t>
            </w:r>
            <w:r>
              <w:rPr>
                <w:rFonts w:hint="eastAsia" w:ascii="仿宋_GB2312" w:hAnsi="仿宋" w:eastAsia="仿宋_GB2312"/>
                <w:sz w:val="24"/>
                <w:szCs w:val="24"/>
              </w:rPr>
              <w:t>乐得瑞LA600A</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eastAsia="zh-CN"/>
              </w:rPr>
              <w:t>传统型高腾</w:t>
            </w:r>
            <w:r>
              <w:rPr>
                <w:rFonts w:hint="eastAsia" w:ascii="仿宋_GB2312" w:hAnsi="仿宋" w:eastAsia="仿宋_GB2312"/>
                <w:sz w:val="24"/>
                <w:szCs w:val="24"/>
                <w:lang w:val="en-US" w:eastAsia="zh-CN"/>
              </w:rPr>
              <w:t>CP86-08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广州</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广州市天河区体育东路天河体育中心网球馆首层广州体育彩票管理中心</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125</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仿宋_GB2312" w:hAnsi="仿宋" w:eastAsia="仿宋_GB2312"/>
                <w:sz w:val="24"/>
                <w:szCs w:val="24"/>
                <w:lang w:val="en-US" w:eastAsia="zh-CN"/>
              </w:rPr>
              <w:t>16</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宋体" w:hAnsi="宋体" w:cs="宋体"/>
                <w:color w:val="000000"/>
                <w:kern w:val="0"/>
                <w:sz w:val="22"/>
                <w:highlight w:val="none"/>
                <w:lang w:val="en-US" w:eastAsia="zh-CN"/>
              </w:rPr>
              <w:t>40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深圳</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深圳市福田区福强路3030号福田体育公园西边仓库</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152</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2</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珠海</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珠海市香洲区红山路</w:t>
            </w:r>
            <w:r>
              <w:rPr>
                <w:rFonts w:hint="eastAsia" w:ascii="宋体" w:hAnsi="宋体" w:cs="宋体"/>
                <w:color w:val="000000"/>
                <w:kern w:val="0"/>
                <w:sz w:val="22"/>
                <w:highlight w:val="none"/>
                <w:lang w:val="en-US" w:eastAsia="zh-CN"/>
              </w:rPr>
              <w:t>165号珠海市体育运动学校</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rPr>
              <w:t>0</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highlight w:val="none"/>
              </w:rPr>
            </w:pPr>
            <w:r>
              <w:rPr>
                <w:rFonts w:hint="eastAsia" w:ascii="仿宋_GB2312" w:hAnsi="仿宋" w:eastAsia="仿宋_GB2312"/>
                <w:sz w:val="24"/>
                <w:szCs w:val="24"/>
                <w:lang w:val="en-US" w:eastAsia="zh-CN"/>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宋体" w:hAnsi="宋体" w:cs="宋体"/>
                <w:color w:val="000000"/>
                <w:kern w:val="0"/>
                <w:sz w:val="22"/>
                <w:highlight w:val="none"/>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汕头</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汕头市长平路</w:t>
            </w:r>
            <w:r>
              <w:rPr>
                <w:rFonts w:hint="eastAsia" w:ascii="宋体" w:hAnsi="宋体" w:cs="宋体"/>
                <w:color w:val="000000"/>
                <w:kern w:val="0"/>
                <w:sz w:val="22"/>
                <w:highlight w:val="none"/>
                <w:lang w:val="en-US" w:eastAsia="zh-CN"/>
              </w:rPr>
              <w:t>18号</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102</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rPr>
              <w:t>5</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佛山</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佛山市禅城区岭南大道南浦新村26号嘉俊苑C座首、二层</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68</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韶关</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韶关市浈江区园前东路20号</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46</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湛江</w:t>
            </w:r>
          </w:p>
        </w:tc>
        <w:tc>
          <w:tcPr>
            <w:tcW w:w="29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湛江市霞山区民治路</w:t>
            </w:r>
            <w:r>
              <w:rPr>
                <w:rFonts w:hint="eastAsia" w:ascii="宋体" w:hAnsi="宋体" w:cs="宋体"/>
                <w:color w:val="000000"/>
                <w:kern w:val="0"/>
                <w:sz w:val="22"/>
                <w:highlight w:val="none"/>
                <w:lang w:val="en-US" w:eastAsia="zh-CN"/>
              </w:rPr>
              <w:t>185号</w:t>
            </w:r>
          </w:p>
        </w:tc>
        <w:tc>
          <w:tcPr>
            <w:tcW w:w="102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10</w:t>
            </w:r>
          </w:p>
        </w:tc>
        <w:tc>
          <w:tcPr>
            <w:tcW w:w="98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50</w:t>
            </w:r>
          </w:p>
        </w:tc>
        <w:tc>
          <w:tcPr>
            <w:tcW w:w="995" w:type="dxa"/>
            <w:tcBorders>
              <w:top w:val="single" w:color="auto" w:sz="4" w:space="0"/>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15</w:t>
            </w:r>
          </w:p>
        </w:tc>
        <w:tc>
          <w:tcPr>
            <w:tcW w:w="1019"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c>
          <w:tcPr>
            <w:tcW w:w="1081" w:type="dxa"/>
            <w:tcBorders>
              <w:top w:val="single" w:color="auto" w:sz="4" w:space="0"/>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肇庆</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eastAsia"/>
                <w:snapToGrid/>
                <w:sz w:val="21"/>
                <w:highlight w:val="none"/>
                <w:lang w:eastAsia="zh-CN"/>
              </w:rPr>
              <w:t>肇庆市</w:t>
            </w:r>
            <w:r>
              <w:rPr>
                <w:rFonts w:hint="default"/>
                <w:snapToGrid/>
                <w:sz w:val="21"/>
                <w:highlight w:val="none"/>
                <w:lang w:eastAsia="zh-CN"/>
              </w:rPr>
              <w:t>端州区西江北路市体育中心</w:t>
            </w:r>
          </w:p>
        </w:tc>
        <w:tc>
          <w:tcPr>
            <w:tcW w:w="10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66</w:t>
            </w:r>
          </w:p>
        </w:tc>
        <w:tc>
          <w:tcPr>
            <w:tcW w:w="995"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江门</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江门市蓬江区华园路</w:t>
            </w:r>
            <w:r>
              <w:rPr>
                <w:rFonts w:hint="eastAsia" w:ascii="宋体" w:hAnsi="宋体" w:cs="宋体"/>
                <w:color w:val="000000"/>
                <w:kern w:val="0"/>
                <w:sz w:val="22"/>
                <w:highlight w:val="none"/>
                <w:lang w:val="en-US" w:eastAsia="zh-CN"/>
              </w:rPr>
              <w:t>4号江门市体育彩票管理中心</w:t>
            </w:r>
          </w:p>
        </w:tc>
        <w:tc>
          <w:tcPr>
            <w:tcW w:w="10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72</w:t>
            </w:r>
          </w:p>
        </w:tc>
        <w:tc>
          <w:tcPr>
            <w:tcW w:w="995"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茂名</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茂名市双山三路38号</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35</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56</w:t>
            </w:r>
          </w:p>
        </w:tc>
        <w:tc>
          <w:tcPr>
            <w:tcW w:w="995"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惠州</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eastAsia" w:ascii="宋体" w:hAnsi="宋体" w:cs="宋体"/>
                <w:color w:val="000000"/>
                <w:kern w:val="0"/>
                <w:sz w:val="22"/>
                <w:highlight w:val="none"/>
              </w:rPr>
              <w:t>惠州市惠城区鹅岭北路16号叠翠山庄市体彩中心</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98</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40</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梅州</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梅州市梅江区江南新中路66-2号 梅州市体育彩票管理分中心</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41</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3</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汕尾</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汕尾市汕尾大道394号顺昌综合楼1楼</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39</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9</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河源</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广东省河源市源城区旺福路5号（体育彩票）</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32</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阳江</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阳江市江城区体育路湖湾华庭商铺11栋6-7号</w:t>
            </w:r>
          </w:p>
        </w:tc>
        <w:tc>
          <w:tcPr>
            <w:tcW w:w="10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23</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清远</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清远市清城区滨江路39号康怡居首层体彩中心</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0</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28</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东莞</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eastAsia" w:ascii="宋体" w:hAnsi="宋体" w:cs="宋体"/>
                <w:color w:val="000000"/>
                <w:kern w:val="0"/>
                <w:sz w:val="22"/>
                <w:highlight w:val="none"/>
              </w:rPr>
              <w:t>东莞市南城区体育路3号体育彩票管理中心</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335</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13</w:t>
            </w:r>
          </w:p>
        </w:tc>
        <w:tc>
          <w:tcPr>
            <w:tcW w:w="995"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25</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中山</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snapToGrid/>
                <w:sz w:val="21"/>
                <w:highlight w:val="none"/>
                <w:lang w:eastAsia="zh-CN"/>
              </w:rPr>
            </w:pPr>
            <w:r>
              <w:rPr>
                <w:rFonts w:hint="default"/>
                <w:snapToGrid/>
                <w:sz w:val="21"/>
                <w:highlight w:val="none"/>
                <w:lang w:eastAsia="zh-CN"/>
              </w:rPr>
              <w:t>中山市东区兴中道兴中体育馆四楼仓库</w:t>
            </w:r>
            <w:r>
              <w:rPr>
                <w:rFonts w:hint="eastAsia"/>
                <w:snapToGrid/>
                <w:sz w:val="21"/>
                <w:highlight w:val="none"/>
                <w:lang w:eastAsia="zh-CN"/>
              </w:rPr>
              <w:t>；</w:t>
            </w:r>
          </w:p>
          <w:p>
            <w:pPr>
              <w:widowControl/>
              <w:jc w:val="left"/>
              <w:rPr>
                <w:rFonts w:hint="eastAsia"/>
                <w:snapToGrid/>
                <w:sz w:val="21"/>
                <w:highlight w:val="none"/>
                <w:lang w:eastAsia="zh-CN"/>
              </w:rPr>
            </w:pPr>
            <w:r>
              <w:rPr>
                <w:rFonts w:hint="default"/>
                <w:snapToGrid/>
                <w:sz w:val="21"/>
                <w:highlight w:val="none"/>
                <w:lang w:eastAsia="zh-CN"/>
              </w:rPr>
              <w:t>中山市东区兴中道东方商贸大厦12卡二楼仓库</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0</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25</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1</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潮州</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eastAsia" w:ascii="宋体" w:hAnsi="宋体" w:cs="宋体"/>
                <w:color w:val="000000"/>
                <w:kern w:val="0"/>
                <w:sz w:val="22"/>
                <w:highlight w:val="none"/>
              </w:rPr>
              <w:t>潮州市新洋路银丰花园11号铺</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28</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5</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揭阳</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揭阳市榕城区西关路351号揭阳市体育运动学校</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17</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云浮</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云浮市市区玉皇路翠玉小区第十栋13号</w:t>
            </w:r>
          </w:p>
        </w:tc>
        <w:tc>
          <w:tcPr>
            <w:tcW w:w="102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25</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顺德</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佛山市顺德区大良街道凤山中路18号顺德体彩中心业务部</w:t>
            </w:r>
          </w:p>
        </w:tc>
        <w:tc>
          <w:tcPr>
            <w:tcW w:w="10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50</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highlight w:val="none"/>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省中心</w:t>
            </w:r>
          </w:p>
        </w:tc>
        <w:tc>
          <w:tcPr>
            <w:tcW w:w="291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highlight w:val="none"/>
              </w:rPr>
            </w:pPr>
            <w:r>
              <w:rPr>
                <w:rFonts w:hint="default"/>
                <w:snapToGrid/>
                <w:sz w:val="21"/>
                <w:highlight w:val="none"/>
                <w:lang w:eastAsia="zh-CN"/>
              </w:rPr>
              <w:t>广州市黄埔区南翔一路50号，新银河世纪跨境电商产业园北门</w:t>
            </w: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14</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2"/>
                <w:highlight w:val="none"/>
                <w:lang w:val="en-US"/>
              </w:rPr>
            </w:pPr>
            <w:r>
              <w:rPr>
                <w:rFonts w:hint="eastAsia" w:ascii="宋体" w:hAnsi="宋体" w:cs="宋体"/>
                <w:color w:val="000000"/>
                <w:kern w:val="0"/>
                <w:sz w:val="22"/>
                <w:highlight w:val="none"/>
                <w:lang w:val="en-US" w:eastAsia="zh-CN"/>
              </w:rPr>
              <w:t>139</w:t>
            </w:r>
          </w:p>
        </w:tc>
        <w:tc>
          <w:tcPr>
            <w:tcW w:w="995"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val="en-US" w:eastAsia="zh-CN"/>
              </w:rPr>
              <w:t>0</w:t>
            </w:r>
          </w:p>
        </w:tc>
        <w:tc>
          <w:tcPr>
            <w:tcW w:w="1019" w:type="dxa"/>
            <w:tcBorders>
              <w:top w:val="nil"/>
              <w:left w:val="nil"/>
              <w:bottom w:val="single" w:color="auto" w:sz="4" w:space="0"/>
              <w:right w:val="single" w:color="auto" w:sz="8" w:space="0"/>
            </w:tcBorders>
            <w:noWrap w:val="0"/>
            <w:vAlign w:val="center"/>
          </w:tcPr>
          <w:p>
            <w:pPr>
              <w:widowControl/>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2</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39"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291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p>
        </w:tc>
        <w:tc>
          <w:tcPr>
            <w:tcW w:w="102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1074</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699</w:t>
            </w:r>
          </w:p>
        </w:tc>
        <w:tc>
          <w:tcPr>
            <w:tcW w:w="995"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107</w:t>
            </w:r>
          </w:p>
        </w:tc>
        <w:tc>
          <w:tcPr>
            <w:tcW w:w="1019"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42</w:t>
            </w:r>
          </w:p>
        </w:tc>
        <w:tc>
          <w:tcPr>
            <w:tcW w:w="1081" w:type="dxa"/>
            <w:tcBorders>
              <w:top w:val="nil"/>
              <w:left w:val="nil"/>
              <w:bottom w:val="single" w:color="auto" w:sz="4" w:space="0"/>
              <w:right w:val="single" w:color="auto" w:sz="8" w:space="0"/>
            </w:tcBorders>
            <w:noWrap w:val="0"/>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208</w:t>
            </w:r>
          </w:p>
        </w:tc>
      </w:tr>
    </w:tbl>
    <w:p>
      <w:pPr>
        <w:rPr>
          <w:rFonts w:hint="eastAsia" w:ascii="仿宋_GB2312" w:eastAsia="仿宋_GB2312"/>
          <w:sz w:val="24"/>
          <w:szCs w:val="24"/>
        </w:rPr>
      </w:pPr>
      <w:r>
        <w:rPr>
          <w:rFonts w:hint="eastAsia" w:ascii="仿宋_GB2312" w:eastAsia="仿宋_GB2312"/>
          <w:sz w:val="24"/>
          <w:szCs w:val="24"/>
        </w:rPr>
        <w:t>注：以上数据</w:t>
      </w:r>
      <w:r>
        <w:rPr>
          <w:rFonts w:hint="eastAsia" w:ascii="仿宋_GB2312" w:eastAsia="仿宋_GB2312"/>
          <w:sz w:val="24"/>
          <w:szCs w:val="24"/>
          <w:lang w:eastAsia="zh-CN"/>
        </w:rPr>
        <w:t>除包含</w:t>
      </w:r>
      <w:r>
        <w:rPr>
          <w:rFonts w:hint="eastAsia" w:ascii="仿宋_GB2312" w:eastAsia="仿宋_GB2312"/>
          <w:sz w:val="24"/>
          <w:szCs w:val="24"/>
          <w:lang w:val="en-US" w:eastAsia="zh-CN"/>
        </w:rPr>
        <w:t>1847台终端机外，还包括服务商委托我中心处置的</w:t>
      </w:r>
      <w:r>
        <w:rPr>
          <w:rFonts w:hint="eastAsia" w:ascii="仿宋_GB2312" w:eastAsia="仿宋_GB2312"/>
          <w:sz w:val="24"/>
          <w:szCs w:val="24"/>
        </w:rPr>
        <w:t>备机</w:t>
      </w:r>
      <w:r>
        <w:rPr>
          <w:rFonts w:hint="eastAsia" w:ascii="仿宋_GB2312" w:eastAsia="仿宋_GB2312"/>
          <w:sz w:val="24"/>
          <w:szCs w:val="24"/>
          <w:lang w:eastAsia="zh-CN"/>
        </w:rPr>
        <w:t>，实际以回收交接单数量进行结算</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篆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D3A5B"/>
    <w:rsid w:val="07DD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2021-09-17T05:58:00Z</dcterms:created>
  <dc:creator>我的文档</dc:creator>
  <cp:lastModifiedBy>我的文档</cp:lastModifiedBy>
  <dcterms:modified xsi:type="dcterms:W3CDTF">2021-09-17T07:30:21Z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967BE98F6F444F718B841EF5B0ED04A7</vt:lpwstr>
  </property>
</Properties>
</file>